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79B" w:rsidRDefault="00FB179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B179B" w:rsidRDefault="00FB179B">
      <w:pPr>
        <w:pStyle w:val="ConsPlusNormal"/>
        <w:jc w:val="both"/>
        <w:outlineLvl w:val="0"/>
      </w:pPr>
    </w:p>
    <w:p w:rsidR="00FB179B" w:rsidRDefault="00FB179B">
      <w:pPr>
        <w:pStyle w:val="ConsPlusNormal"/>
        <w:jc w:val="both"/>
        <w:outlineLvl w:val="0"/>
      </w:pPr>
      <w:r>
        <w:t>Зарегистрировано в Минюсте России 29 сентября 2022 г. N 70281</w:t>
      </w:r>
    </w:p>
    <w:p w:rsidR="00FB179B" w:rsidRDefault="00FB17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</w:pPr>
      <w:r>
        <w:t>МИНИСТЕРСТВО ПРОСВЕЩЕНИЯ РОССИЙСКОЙ ФЕДЕРАЦИИ</w:t>
      </w:r>
    </w:p>
    <w:p w:rsidR="00FB179B" w:rsidRDefault="00FB179B">
      <w:pPr>
        <w:pStyle w:val="ConsPlusTitle"/>
        <w:jc w:val="both"/>
      </w:pPr>
    </w:p>
    <w:p w:rsidR="00FB179B" w:rsidRDefault="00FB179B">
      <w:pPr>
        <w:pStyle w:val="ConsPlusTitle"/>
        <w:jc w:val="center"/>
      </w:pPr>
      <w:r>
        <w:t>ПРИКАЗ</w:t>
      </w:r>
    </w:p>
    <w:p w:rsidR="00FB179B" w:rsidRDefault="00FB179B">
      <w:pPr>
        <w:pStyle w:val="ConsPlusTitle"/>
        <w:jc w:val="center"/>
      </w:pPr>
      <w:r>
        <w:t>от 26 августа 2022 г. N 775</w:t>
      </w:r>
    </w:p>
    <w:p w:rsidR="00FB179B" w:rsidRDefault="00FB179B">
      <w:pPr>
        <w:pStyle w:val="ConsPlusTitle"/>
        <w:jc w:val="both"/>
      </w:pPr>
    </w:p>
    <w:p w:rsidR="00FB179B" w:rsidRDefault="00FB179B">
      <w:pPr>
        <w:pStyle w:val="ConsPlusTitle"/>
        <w:jc w:val="center"/>
      </w:pPr>
      <w:r>
        <w:t>ОБ УТВЕРЖДЕНИИ</w:t>
      </w:r>
    </w:p>
    <w:p w:rsidR="00FB179B" w:rsidRDefault="00FB179B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FB179B" w:rsidRDefault="00FB179B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B179B" w:rsidRDefault="00FB179B">
      <w:pPr>
        <w:pStyle w:val="ConsPlusTitle"/>
        <w:jc w:val="center"/>
      </w:pPr>
      <w:r>
        <w:t>43.02.17 ТЕХНОЛОГИИ ИНДУСТРИИ КРАСОТЫ</w:t>
      </w:r>
    </w:p>
    <w:p w:rsidR="00FB179B" w:rsidRDefault="00FB17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7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179B" w:rsidRDefault="00FB17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179B" w:rsidRDefault="00FB17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</w:tr>
    </w:tbl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43.02.17 Технологии индустрии красоты (далее - стандарт).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6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8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9">
        <w:r>
          <w:rPr>
            <w:color w:val="0000FF"/>
          </w:rPr>
          <w:t>43.02.03</w:t>
        </w:r>
      </w:hyperlink>
      <w:r>
        <w:t xml:space="preserve"> Стилистика и искусство визажа, утвержденным приказом Министерства образования и науки Российской Федерации от 7 мая 2014 г. N 467 (зарегистрирован Министерством юстиции Российской Федерации 3 июля 2014 г., регистрационный N 32955), с изменениями, внесенными приказом Министерства образования и науки Российской Федерации от 27 ноября 2014 г. N 1522 (зарегистрирован Министерством юстиции Российской Федерации 19 декабря 2014 г., регистрационный N 35280) 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федеральным государственным образовательным </w:t>
      </w:r>
      <w:hyperlink r:id="rId10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1">
        <w:r>
          <w:rPr>
            <w:color w:val="0000FF"/>
          </w:rPr>
          <w:t>43.02.12</w:t>
        </w:r>
      </w:hyperlink>
      <w:r>
        <w:t xml:space="preserve"> Технология эстетических услуг, утвержденным приказом Министерства образования и науки Российской Федерации от 9 декабря 2016 г. N 1560 (зарегистрирован Министерством юстиции Российской Федерации 26 декабря 2016 г., регистрационный N 44975), с изменениями, внесенными приказом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и федеральным государственным образовательным </w:t>
      </w:r>
      <w:hyperlink r:id="rId12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3">
        <w:r>
          <w:rPr>
            <w:color w:val="0000FF"/>
          </w:rPr>
          <w:t>43.02.13</w:t>
        </w:r>
      </w:hyperlink>
      <w:r>
        <w:t xml:space="preserve"> Технология парикмахерского искусства, утвержденным приказом </w:t>
      </w:r>
      <w:r>
        <w:lastRenderedPageBreak/>
        <w:t>Министерства образования и науки Российской Федерации от 9 декабря 2016 г. N 1558 (зарегистрирован Министерством юстиции Российской Федерации 20 декабря 2016 г., регистрационный N 44830), с изменениями, внесенными приказом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прекращается с 31 декабря 2022 года.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right"/>
      </w:pPr>
      <w:r>
        <w:t>Исполняющий обязанности Министра</w:t>
      </w:r>
    </w:p>
    <w:p w:rsidR="00FB179B" w:rsidRDefault="00FB179B">
      <w:pPr>
        <w:pStyle w:val="ConsPlusNormal"/>
        <w:jc w:val="right"/>
      </w:pPr>
      <w:r>
        <w:t>А.А.КОРНЕЕВ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right"/>
        <w:outlineLvl w:val="0"/>
      </w:pPr>
      <w:r>
        <w:t>Приложение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right"/>
      </w:pPr>
      <w:r>
        <w:t>Утвержден</w:t>
      </w:r>
    </w:p>
    <w:p w:rsidR="00FB179B" w:rsidRDefault="00FB179B">
      <w:pPr>
        <w:pStyle w:val="ConsPlusNormal"/>
        <w:jc w:val="right"/>
      </w:pPr>
      <w:r>
        <w:t>приказом Министерства просвещения</w:t>
      </w:r>
    </w:p>
    <w:p w:rsidR="00FB179B" w:rsidRDefault="00FB179B">
      <w:pPr>
        <w:pStyle w:val="ConsPlusNormal"/>
        <w:jc w:val="right"/>
      </w:pPr>
      <w:r>
        <w:t>Российской Федерации</w:t>
      </w:r>
    </w:p>
    <w:p w:rsidR="00FB179B" w:rsidRDefault="00FB179B">
      <w:pPr>
        <w:pStyle w:val="ConsPlusNormal"/>
        <w:jc w:val="right"/>
      </w:pPr>
      <w:r>
        <w:t>от 26 августа 2022 г. N 775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FB179B" w:rsidRDefault="00FB179B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B179B" w:rsidRDefault="00FB179B">
      <w:pPr>
        <w:pStyle w:val="ConsPlusTitle"/>
        <w:jc w:val="center"/>
      </w:pPr>
      <w:r>
        <w:t>43.02.17 ТЕХНОЛОГИИ ИНДУСТРИИ КРАСОТЫ</w:t>
      </w:r>
    </w:p>
    <w:p w:rsidR="00FB179B" w:rsidRDefault="00FB17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B17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179B" w:rsidRDefault="00FB17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179B" w:rsidRDefault="00FB17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179B" w:rsidRDefault="00FB179B">
            <w:pPr>
              <w:pStyle w:val="ConsPlusNormal"/>
            </w:pPr>
          </w:p>
        </w:tc>
      </w:tr>
    </w:tbl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  <w:outlineLvl w:val="1"/>
      </w:pPr>
      <w:r>
        <w:t>I. ОБЩИЕ ПОЛОЖЕНИЯ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bookmarkStart w:id="1" w:name="P44"/>
      <w:bookmarkEnd w:id="1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43.02.17 Технологии индустрии красоты (далее соответственно - ФГОС СПО, образовательная программа, специальность) в соответствии с квалификацией специалиста среднего звена "специалист индустрии красоты" &lt;1&gt;.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6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FB179B" w:rsidRDefault="00FB179B">
      <w:pPr>
        <w:pStyle w:val="ConsPlusNormal"/>
        <w:jc w:val="both"/>
      </w:pPr>
      <w:r>
        <w:lastRenderedPageBreak/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8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1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2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bookmarkStart w:id="2" w:name="P69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9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FB179B" w:rsidRDefault="00FB179B">
      <w:pPr>
        <w:pStyle w:val="ConsPlusNormal"/>
        <w:spacing w:before="220"/>
        <w:ind w:firstLine="540"/>
        <w:jc w:val="both"/>
      </w:pPr>
      <w:bookmarkStart w:id="3" w:name="P77"/>
      <w:bookmarkEnd w:id="3"/>
      <w: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3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 &lt;5&gt;.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4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1.14. При разработке образовательной программы образовательная организация </w:t>
      </w:r>
      <w:r>
        <w:lastRenderedPageBreak/>
        <w:t>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FB179B" w:rsidRDefault="00FB179B">
      <w:pPr>
        <w:pStyle w:val="ConsPlusNormal"/>
        <w:jc w:val="both"/>
      </w:pPr>
      <w:r>
        <w:t xml:space="preserve">(п. 1.14 в ред. </w:t>
      </w:r>
      <w:hyperlink r:id="rId2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1.15.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&lt;5(1)&gt;.</w:t>
      </w:r>
    </w:p>
    <w:p w:rsidR="00FB179B" w:rsidRDefault="00FB179B">
      <w:pPr>
        <w:pStyle w:val="ConsPlusNormal"/>
        <w:jc w:val="both"/>
      </w:pPr>
      <w:r>
        <w:t xml:space="preserve">(п. 1.15 введен </w:t>
      </w:r>
      <w:hyperlink r:id="rId26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&lt;5(1)&gt; </w:t>
      </w:r>
      <w:hyperlink r:id="rId27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387, действующим до 1 января 2026 г.</w:t>
      </w:r>
    </w:p>
    <w:p w:rsidR="00FB179B" w:rsidRDefault="00FB179B">
      <w:pPr>
        <w:pStyle w:val="ConsPlusNormal"/>
        <w:jc w:val="both"/>
      </w:pPr>
      <w:r>
        <w:t xml:space="preserve">(сноска введена </w:t>
      </w:r>
      <w:hyperlink r:id="rId28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9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практику;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right"/>
      </w:pPr>
      <w:r>
        <w:t>Таблица N 1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center"/>
      </w:pPr>
      <w:bookmarkStart w:id="4" w:name="P99"/>
      <w:bookmarkEnd w:id="4"/>
      <w:r>
        <w:t>Структура и объем образовательной программы</w:t>
      </w:r>
    </w:p>
    <w:p w:rsidR="00FB179B" w:rsidRDefault="00FB17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8"/>
      </w:tblGrid>
      <w:tr w:rsidR="00FB179B">
        <w:tc>
          <w:tcPr>
            <w:tcW w:w="4592" w:type="dxa"/>
          </w:tcPr>
          <w:p w:rsidR="00FB179B" w:rsidRDefault="00FB179B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4478" w:type="dxa"/>
          </w:tcPr>
          <w:p w:rsidR="00FB179B" w:rsidRDefault="00FB179B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FB179B">
        <w:tc>
          <w:tcPr>
            <w:tcW w:w="4592" w:type="dxa"/>
            <w:vAlign w:val="center"/>
          </w:tcPr>
          <w:p w:rsidR="00FB179B" w:rsidRDefault="00FB179B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4478" w:type="dxa"/>
            <w:vAlign w:val="center"/>
          </w:tcPr>
          <w:p w:rsidR="00FB179B" w:rsidRDefault="00FB179B">
            <w:pPr>
              <w:pStyle w:val="ConsPlusNormal"/>
              <w:jc w:val="center"/>
            </w:pPr>
            <w:r>
              <w:t>Не менее 1476</w:t>
            </w:r>
          </w:p>
        </w:tc>
      </w:tr>
      <w:tr w:rsidR="00FB179B">
        <w:tc>
          <w:tcPr>
            <w:tcW w:w="4592" w:type="dxa"/>
            <w:vAlign w:val="center"/>
          </w:tcPr>
          <w:p w:rsidR="00FB179B" w:rsidRDefault="00FB179B">
            <w:pPr>
              <w:pStyle w:val="ConsPlusNormal"/>
            </w:pPr>
            <w:r>
              <w:t>Практика</w:t>
            </w:r>
          </w:p>
        </w:tc>
        <w:tc>
          <w:tcPr>
            <w:tcW w:w="4478" w:type="dxa"/>
            <w:vAlign w:val="center"/>
          </w:tcPr>
          <w:p w:rsidR="00FB179B" w:rsidRDefault="00FB179B">
            <w:pPr>
              <w:pStyle w:val="ConsPlusNormal"/>
              <w:jc w:val="center"/>
            </w:pPr>
            <w:r>
              <w:t>Не менее 432</w:t>
            </w:r>
          </w:p>
        </w:tc>
      </w:tr>
      <w:tr w:rsidR="00FB179B">
        <w:tc>
          <w:tcPr>
            <w:tcW w:w="4592" w:type="dxa"/>
            <w:vAlign w:val="center"/>
          </w:tcPr>
          <w:p w:rsidR="00FB179B" w:rsidRDefault="00FB179B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4478" w:type="dxa"/>
            <w:vAlign w:val="center"/>
          </w:tcPr>
          <w:p w:rsidR="00FB179B" w:rsidRDefault="00FB179B">
            <w:pPr>
              <w:pStyle w:val="ConsPlusNormal"/>
              <w:jc w:val="center"/>
            </w:pPr>
            <w:r>
              <w:t>216</w:t>
            </w:r>
          </w:p>
        </w:tc>
      </w:tr>
      <w:tr w:rsidR="00FB179B">
        <w:tc>
          <w:tcPr>
            <w:tcW w:w="9070" w:type="dxa"/>
            <w:gridSpan w:val="2"/>
          </w:tcPr>
          <w:p w:rsidR="00FB179B" w:rsidRDefault="00FB179B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FB179B">
        <w:tc>
          <w:tcPr>
            <w:tcW w:w="4592" w:type="dxa"/>
            <w:vAlign w:val="center"/>
          </w:tcPr>
          <w:p w:rsidR="00FB179B" w:rsidRDefault="00FB179B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4478" w:type="dxa"/>
          </w:tcPr>
          <w:p w:rsidR="00FB179B" w:rsidRDefault="00FB179B">
            <w:pPr>
              <w:pStyle w:val="ConsPlusNormal"/>
              <w:jc w:val="center"/>
            </w:pPr>
            <w:r>
              <w:t>2952</w:t>
            </w:r>
          </w:p>
        </w:tc>
      </w:tr>
      <w:tr w:rsidR="00FB179B">
        <w:tblPrEx>
          <w:tblBorders>
            <w:insideH w:val="nil"/>
          </w:tblBorders>
        </w:tblPrEx>
        <w:tc>
          <w:tcPr>
            <w:tcW w:w="4592" w:type="dxa"/>
            <w:tcBorders>
              <w:bottom w:val="nil"/>
            </w:tcBorders>
          </w:tcPr>
          <w:p w:rsidR="00FB179B" w:rsidRDefault="00FB179B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478" w:type="dxa"/>
            <w:tcBorders>
              <w:bottom w:val="nil"/>
            </w:tcBorders>
          </w:tcPr>
          <w:p w:rsidR="00FB179B" w:rsidRDefault="00FB179B">
            <w:pPr>
              <w:pStyle w:val="ConsPlusNormal"/>
              <w:jc w:val="center"/>
            </w:pPr>
            <w:r>
              <w:t>4428</w:t>
            </w:r>
          </w:p>
        </w:tc>
      </w:tr>
      <w:tr w:rsidR="00FB179B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FB179B" w:rsidRDefault="00FB179B">
            <w:pPr>
              <w:pStyle w:val="ConsPlusNormal"/>
              <w:jc w:val="both"/>
            </w:pPr>
            <w: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t xml:space="preserve">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03.07.2024 N 464)</w:t>
            </w:r>
          </w:p>
        </w:tc>
      </w:tr>
    </w:tbl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2.2. Образовательная программа включает циклы: социально-гуманитарный цикл; общепрофессиональный цикл; профессиональный цикл.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6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bookmarkStart w:id="5" w:name="P123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предоставление </w:t>
      </w:r>
      <w:proofErr w:type="spellStart"/>
      <w:r>
        <w:t>визажных</w:t>
      </w:r>
      <w:proofErr w:type="spellEnd"/>
      <w:r>
        <w:t xml:space="preserve"> услуг (по выбору);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предоставление косметических услуг (по выбору);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предоставление маникюрных и педикюрных услуг (по выбору);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предоставление парикмахерских услуг (по выбору).</w:t>
      </w:r>
    </w:p>
    <w:p w:rsidR="00FB179B" w:rsidRDefault="00FB179B">
      <w:pPr>
        <w:pStyle w:val="ConsPlusNormal"/>
        <w:jc w:val="both"/>
      </w:pPr>
      <w:r>
        <w:t xml:space="preserve">(п. 2.4 в ред. </w:t>
      </w:r>
      <w:hyperlink r:id="rId3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3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2.7. Обязательная часть социально-гуманитарного цикла образовательной программы </w:t>
      </w:r>
      <w:r>
        <w:lastRenderedPageBreak/>
        <w:t>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"Информационное обеспечение профессиональной деятельности", "Анатомия и физиология человека", "Санитария и гигиена в сфере услуг", "Рисунок и живопись", "Организация и ведение коммерческой деятельности специалиста индустрии красоты", "Деловые и профессиональные коммуникации".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4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  <w:outlineLvl w:val="1"/>
      </w:pPr>
      <w:bookmarkStart w:id="6" w:name="P146"/>
      <w:bookmarkEnd w:id="6"/>
      <w:r>
        <w:t>III. ТРЕБОВАНИЯ К РЕЗУЛЬТАТАМ ОСВОЕНИЯ</w:t>
      </w:r>
    </w:p>
    <w:p w:rsidR="00FB179B" w:rsidRDefault="00FB179B">
      <w:pPr>
        <w:pStyle w:val="ConsPlusTitle"/>
        <w:jc w:val="center"/>
      </w:pPr>
      <w:r>
        <w:t>ОБРАЗОВАТЕЛЬНОЙ ПРОГРАММЫ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 xml:space="preserve">3.1. В результате освоения образовательной программы у выпускника должны быть </w:t>
      </w:r>
      <w:r>
        <w:lastRenderedPageBreak/>
        <w:t>сформированы общие и профессиональные компетенции.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right"/>
      </w:pPr>
      <w:r>
        <w:t>Таблица N 2</w:t>
      </w:r>
    </w:p>
    <w:p w:rsidR="00FB179B" w:rsidRDefault="00FB17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6576"/>
      </w:tblGrid>
      <w:tr w:rsidR="00FB179B">
        <w:tc>
          <w:tcPr>
            <w:tcW w:w="2494" w:type="dxa"/>
          </w:tcPr>
          <w:p w:rsidR="00FB179B" w:rsidRDefault="00FB179B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FB179B">
        <w:tc>
          <w:tcPr>
            <w:tcW w:w="2494" w:type="dxa"/>
          </w:tcPr>
          <w:p w:rsidR="00FB179B" w:rsidRDefault="00FB17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  <w:jc w:val="center"/>
            </w:pPr>
            <w:r>
              <w:t>2</w:t>
            </w:r>
          </w:p>
        </w:tc>
      </w:tr>
      <w:tr w:rsidR="00FB179B">
        <w:tc>
          <w:tcPr>
            <w:tcW w:w="2494" w:type="dxa"/>
          </w:tcPr>
          <w:p w:rsidR="00FB179B" w:rsidRDefault="00FB179B">
            <w:pPr>
              <w:pStyle w:val="ConsPlusNormal"/>
            </w:pPr>
            <w:r>
              <w:t xml:space="preserve">предоставление </w:t>
            </w:r>
            <w:proofErr w:type="spellStart"/>
            <w:r>
              <w:t>визажных</w:t>
            </w:r>
            <w:proofErr w:type="spellEnd"/>
            <w:r>
              <w:t xml:space="preserve"> услуг (по выбору)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</w:pPr>
            <w:r>
              <w:t>ПК 1.1. Моделировать, осуществлять коррекцию, окрашивание бровей и ресниц с использованием различных техник.</w:t>
            </w:r>
          </w:p>
          <w:p w:rsidR="00FB179B" w:rsidRDefault="00FB179B">
            <w:pPr>
              <w:pStyle w:val="ConsPlusNormal"/>
            </w:pPr>
            <w:r>
              <w:t>ПК 1.2. Выполнять химическую и биохимическую завивку ресниц.</w:t>
            </w:r>
          </w:p>
          <w:p w:rsidR="00FB179B" w:rsidRDefault="00FB179B">
            <w:pPr>
              <w:pStyle w:val="ConsPlusNormal"/>
            </w:pPr>
            <w:r>
              <w:t>ПК 1.3. Выполнять салонный и специфический макияж.</w:t>
            </w:r>
          </w:p>
          <w:p w:rsidR="00FB179B" w:rsidRDefault="00FB179B">
            <w:pPr>
              <w:pStyle w:val="ConsPlusNormal"/>
            </w:pPr>
            <w:r>
              <w:lastRenderedPageBreak/>
              <w:t>ПК 1.4. Выполнять рисунки или их элементы на лице и теле в различных художественных техниках.</w:t>
            </w:r>
          </w:p>
          <w:p w:rsidR="00FB179B" w:rsidRDefault="00FB179B">
            <w:pPr>
              <w:pStyle w:val="ConsPlusNormal"/>
            </w:pPr>
            <w:r>
              <w:t>ПК 1.5 Разрабатывать концепцию образа индивидуального стиля заказчика и коллекции образов.</w:t>
            </w:r>
          </w:p>
          <w:p w:rsidR="00FB179B" w:rsidRDefault="00FB179B">
            <w:pPr>
              <w:pStyle w:val="ConsPlusNormal"/>
            </w:pPr>
            <w:r>
              <w:t xml:space="preserve">ПК 1.6. Выполнять санитарно-эпидемиологические требования при предоставлении </w:t>
            </w:r>
            <w:proofErr w:type="spellStart"/>
            <w:r>
              <w:t>визажных</w:t>
            </w:r>
            <w:proofErr w:type="spellEnd"/>
            <w:r>
              <w:t xml:space="preserve"> услуг.</w:t>
            </w:r>
          </w:p>
        </w:tc>
      </w:tr>
      <w:tr w:rsidR="00FB179B">
        <w:tc>
          <w:tcPr>
            <w:tcW w:w="2494" w:type="dxa"/>
          </w:tcPr>
          <w:p w:rsidR="00FB179B" w:rsidRDefault="00FB179B">
            <w:pPr>
              <w:pStyle w:val="ConsPlusNormal"/>
            </w:pPr>
            <w:r>
              <w:lastRenderedPageBreak/>
              <w:t>предоставление косметических услуг (по выбору)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</w:pPr>
            <w:r>
              <w:t>ПК 1.1. Выполнять косметические услуги по уходу за кожей лица, шеи и зоны декольте.</w:t>
            </w:r>
          </w:p>
          <w:p w:rsidR="00FB179B" w:rsidRDefault="00FB179B">
            <w:pPr>
              <w:pStyle w:val="ConsPlusNormal"/>
            </w:pPr>
            <w:r>
              <w:t>ПК 1.2. Выполнять косметические услуги по уходу за телом. ПК 1.3. Выполнять услуги по оформлению бровей и ресниц различными техниками с учетом запроса клиента.</w:t>
            </w:r>
          </w:p>
          <w:p w:rsidR="00FB179B" w:rsidRDefault="00FB179B">
            <w:pPr>
              <w:pStyle w:val="ConsPlusNormal"/>
            </w:pPr>
            <w:r>
              <w:t>ПК 1.4 Выполнять коррекцию волосяного покрова различных частей тела.</w:t>
            </w:r>
          </w:p>
          <w:p w:rsidR="00FB179B" w:rsidRDefault="00FB179B">
            <w:pPr>
              <w:pStyle w:val="ConsPlusNormal"/>
            </w:pPr>
            <w:r>
              <w:t>ПК 1.5. Выполнять санитарно-эпидемиологические требования при предоставлении косметических услуг.</w:t>
            </w:r>
          </w:p>
        </w:tc>
      </w:tr>
      <w:tr w:rsidR="00FB179B">
        <w:tc>
          <w:tcPr>
            <w:tcW w:w="2494" w:type="dxa"/>
          </w:tcPr>
          <w:p w:rsidR="00FB179B" w:rsidRDefault="00FB179B">
            <w:pPr>
              <w:pStyle w:val="ConsPlusNormal"/>
            </w:pPr>
            <w:r>
              <w:t>предоставление маникюрных и педикюрных услуг (по выбору)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</w:pPr>
            <w:r>
              <w:t>ПК 2.1. Выполнять маникюрные услуги.</w:t>
            </w:r>
          </w:p>
          <w:p w:rsidR="00FB179B" w:rsidRDefault="00FB179B">
            <w:pPr>
              <w:pStyle w:val="ConsPlusNormal"/>
            </w:pPr>
            <w:r>
              <w:t>ПК 2.2. Выполнять педикюрные услуги.</w:t>
            </w:r>
          </w:p>
          <w:p w:rsidR="00FB179B" w:rsidRDefault="00FB179B">
            <w:pPr>
              <w:pStyle w:val="ConsPlusNormal"/>
            </w:pPr>
            <w:r>
              <w:t>ПК 2.3. Выполнять услуги по моделированию и дизайну ногтей.</w:t>
            </w:r>
          </w:p>
          <w:p w:rsidR="00FB179B" w:rsidRDefault="00FB179B">
            <w:pPr>
              <w:pStyle w:val="ConsPlusNormal"/>
            </w:pPr>
            <w:r>
              <w:t>ПК 2.4. Выполнять санитарно-эпидемиологические требования при предоставлении маникюрных и педикюрных услуг.</w:t>
            </w:r>
          </w:p>
        </w:tc>
      </w:tr>
      <w:tr w:rsidR="00FB179B">
        <w:tc>
          <w:tcPr>
            <w:tcW w:w="2494" w:type="dxa"/>
          </w:tcPr>
          <w:p w:rsidR="00FB179B" w:rsidRDefault="00FB179B">
            <w:pPr>
              <w:pStyle w:val="ConsPlusNormal"/>
            </w:pPr>
            <w:r>
              <w:t>предоставление парикмахерских услуг (по выбору)</w:t>
            </w:r>
          </w:p>
        </w:tc>
        <w:tc>
          <w:tcPr>
            <w:tcW w:w="6576" w:type="dxa"/>
          </w:tcPr>
          <w:p w:rsidR="00FB179B" w:rsidRDefault="00FB179B">
            <w:pPr>
              <w:pStyle w:val="ConsPlusNormal"/>
            </w:pPr>
            <w: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  <w:p w:rsidR="00FB179B" w:rsidRDefault="00FB179B">
            <w:pPr>
              <w:pStyle w:val="ConsPlusNormal"/>
            </w:pPr>
            <w: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  <w:p w:rsidR="00FB179B" w:rsidRDefault="00FB179B">
            <w:pPr>
              <w:pStyle w:val="ConsPlusNormal"/>
            </w:pPr>
            <w:r>
              <w:t>ПК 1.3. Выполнять простые и сложные виды окрашивания волос с учетом запроса клиента.</w:t>
            </w:r>
          </w:p>
          <w:p w:rsidR="00FB179B" w:rsidRDefault="00FB179B">
            <w:pPr>
              <w:pStyle w:val="ConsPlusNormal"/>
            </w:pPr>
            <w:r>
              <w:t>ПК 1.4. Разрабатывать и выполнять классические и современные, коммерческие укладки и прически на волосах различной длины различными инструментами и техниками.</w:t>
            </w:r>
          </w:p>
          <w:p w:rsidR="00FB179B" w:rsidRDefault="00FB179B">
            <w:pPr>
              <w:pStyle w:val="ConsPlusNormal"/>
            </w:pPr>
            <w:r>
              <w:t>ПК 1.5. Моделировать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  <w:p w:rsidR="00FB179B" w:rsidRDefault="00FB179B">
            <w:pPr>
              <w:pStyle w:val="ConsPlusNormal"/>
            </w:pPr>
            <w:r>
              <w:t xml:space="preserve">ПК 1.6. Выполнять эскизы и схемы для разработки </w:t>
            </w:r>
            <w:proofErr w:type="spellStart"/>
            <w:r>
              <w:t>инструкционно</w:t>
            </w:r>
            <w:proofErr w:type="spellEnd"/>
            <w:r>
              <w:t>-технологических карт.</w:t>
            </w:r>
          </w:p>
          <w:p w:rsidR="00FB179B" w:rsidRDefault="00FB179B">
            <w:pPr>
              <w:pStyle w:val="ConsPlusNormal"/>
            </w:pPr>
            <w:r>
              <w:t>ПК 1.7. Выполнять санитарно-эпидемиологические требования при предоставлении парикмахерских услуг.</w:t>
            </w:r>
          </w:p>
        </w:tc>
      </w:tr>
    </w:tbl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3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программы, для учета потребностей регионального рынка труда.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3.5. Образовательная организация с учетом ПОП самостоятельно планирует результаты </w:t>
      </w:r>
      <w:r>
        <w:lastRenderedPageBreak/>
        <w:t>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&lt;6&gt; </w:t>
      </w:r>
      <w:hyperlink r:id="rId38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FB179B" w:rsidRDefault="00FB179B">
      <w:pPr>
        <w:pStyle w:val="ConsPlusTitle"/>
        <w:jc w:val="center"/>
      </w:pPr>
      <w:r>
        <w:t>ОБРАЗОВАТЕЛЬНОЙ ПРОГРАММЫ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&lt;7&gt; Федеральный </w:t>
      </w:r>
      <w:hyperlink r:id="rId39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правила </w:t>
      </w:r>
      <w:hyperlink r:id="rId40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 санитарно-эпидемиологические правила и нормы </w:t>
      </w:r>
      <w:hyperlink r:id="rId41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 санитарные правила и нормы </w:t>
      </w:r>
      <w:hyperlink r:id="rId42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FB179B" w:rsidRDefault="00FB179B">
      <w:pPr>
        <w:pStyle w:val="ConsPlusNormal"/>
        <w:jc w:val="both"/>
      </w:pPr>
      <w:r>
        <w:lastRenderedPageBreak/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lastRenderedPageBreak/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FB179B" w:rsidRDefault="00FB179B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7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7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7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&lt;9&gt;.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 xml:space="preserve">&lt;8&gt; Бюджетный </w:t>
      </w:r>
      <w:hyperlink r:id="rId47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&lt;9&gt; Собрание законодательства Российской Федерации, 2012, N 53, ст. 7598; 2022, N 29, ст. 5262.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lastRenderedPageBreak/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FB179B" w:rsidRDefault="00FB179B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FB179B" w:rsidRDefault="00FB179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jc w:val="both"/>
      </w:pPr>
    </w:p>
    <w:p w:rsidR="00FB179B" w:rsidRDefault="00FB17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FB179B">
      <w:bookmarkStart w:id="7" w:name="_GoBack"/>
      <w:bookmarkEnd w:id="7"/>
    </w:p>
    <w:sectPr w:rsidR="006D258B" w:rsidSect="0041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9B"/>
    <w:rsid w:val="002049F3"/>
    <w:rsid w:val="00833DD7"/>
    <w:rsid w:val="00FB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FDBA1-F74B-4CFE-8789-65622C33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7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17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17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377712&amp;dst=172" TargetMode="External"/><Relationship Id="rId18" Type="http://schemas.openxmlformats.org/officeDocument/2006/relationships/hyperlink" Target="https://login.consultant.ru/link/?req=doc&amp;base=RZR&amp;n=501142&amp;dst=4" TargetMode="External"/><Relationship Id="rId26" Type="http://schemas.openxmlformats.org/officeDocument/2006/relationships/hyperlink" Target="https://login.consultant.ru/link/?req=doc&amp;base=RZR&amp;n=483090&amp;dst=112330" TargetMode="External"/><Relationship Id="rId39" Type="http://schemas.openxmlformats.org/officeDocument/2006/relationships/hyperlink" Target="https://login.consultant.ru/link/?req=doc&amp;base=RZR&amp;n=536587" TargetMode="External"/><Relationship Id="rId21" Type="http://schemas.openxmlformats.org/officeDocument/2006/relationships/hyperlink" Target="https://login.consultant.ru/link/?req=doc&amp;base=RZR&amp;n=527217&amp;dst=446" TargetMode="External"/><Relationship Id="rId34" Type="http://schemas.openxmlformats.org/officeDocument/2006/relationships/hyperlink" Target="https://login.consultant.ru/link/?req=doc&amp;base=RZR&amp;n=483090&amp;dst=112354" TargetMode="External"/><Relationship Id="rId42" Type="http://schemas.openxmlformats.org/officeDocument/2006/relationships/hyperlink" Target="https://login.consultant.ru/link/?req=doc&amp;base=RZR&amp;n=517341&amp;dst=100137" TargetMode="External"/><Relationship Id="rId47" Type="http://schemas.openxmlformats.org/officeDocument/2006/relationships/hyperlink" Target="https://login.consultant.ru/link/?req=doc&amp;base=RZR&amp;n=513926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481262&amp;dst=1000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01142&amp;dst=4" TargetMode="External"/><Relationship Id="rId29" Type="http://schemas.openxmlformats.org/officeDocument/2006/relationships/hyperlink" Target="https://login.consultant.ru/link/?req=doc&amp;base=RZR&amp;n=483090&amp;dst=112334" TargetMode="External"/><Relationship Id="rId11" Type="http://schemas.openxmlformats.org/officeDocument/2006/relationships/hyperlink" Target="https://login.consultant.ru/link/?req=doc&amp;base=RZR&amp;n=377712&amp;dst=169" TargetMode="External"/><Relationship Id="rId24" Type="http://schemas.openxmlformats.org/officeDocument/2006/relationships/hyperlink" Target="https://login.consultant.ru/link/?req=doc&amp;base=RZR&amp;n=214720&amp;dst=100047" TargetMode="External"/><Relationship Id="rId32" Type="http://schemas.openxmlformats.org/officeDocument/2006/relationships/hyperlink" Target="https://login.consultant.ru/link/?req=doc&amp;base=RZR&amp;n=483090&amp;dst=112351" TargetMode="External"/><Relationship Id="rId37" Type="http://schemas.openxmlformats.org/officeDocument/2006/relationships/hyperlink" Target="https://login.consultant.ru/link/?req=doc&amp;base=RZR&amp;n=483090&amp;dst=112357" TargetMode="External"/><Relationship Id="rId40" Type="http://schemas.openxmlformats.org/officeDocument/2006/relationships/hyperlink" Target="https://login.consultant.ru/link/?req=doc&amp;base=RZR&amp;n=522968&amp;dst=100047" TargetMode="External"/><Relationship Id="rId45" Type="http://schemas.openxmlformats.org/officeDocument/2006/relationships/hyperlink" Target="https://login.consultant.ru/link/?req=doc&amp;base=RZR&amp;n=483090&amp;dst=112361" TargetMode="External"/><Relationship Id="rId5" Type="http://schemas.openxmlformats.org/officeDocument/2006/relationships/hyperlink" Target="https://login.consultant.ru/link/?req=doc&amp;base=RZR&amp;n=483090&amp;dst=112324" TargetMode="External"/><Relationship Id="rId15" Type="http://schemas.openxmlformats.org/officeDocument/2006/relationships/hyperlink" Target="https://login.consultant.ru/link/?req=doc&amp;base=RZR&amp;n=530300&amp;dst=100022" TargetMode="External"/><Relationship Id="rId23" Type="http://schemas.openxmlformats.org/officeDocument/2006/relationships/hyperlink" Target="https://login.consultant.ru/link/?req=doc&amp;base=RZR&amp;n=214720&amp;dst=100114" TargetMode="External"/><Relationship Id="rId28" Type="http://schemas.openxmlformats.org/officeDocument/2006/relationships/hyperlink" Target="https://login.consultant.ru/link/?req=doc&amp;base=RZR&amp;n=483090&amp;dst=112332" TargetMode="External"/><Relationship Id="rId36" Type="http://schemas.openxmlformats.org/officeDocument/2006/relationships/hyperlink" Target="https://login.consultant.ru/link/?req=doc&amp;base=RZR&amp;n=483090&amp;dst=11235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375016&amp;dst=100010" TargetMode="External"/><Relationship Id="rId19" Type="http://schemas.openxmlformats.org/officeDocument/2006/relationships/hyperlink" Target="https://login.consultant.ru/link/?req=doc&amp;base=RZR&amp;n=483090&amp;dst=112326" TargetMode="External"/><Relationship Id="rId31" Type="http://schemas.openxmlformats.org/officeDocument/2006/relationships/hyperlink" Target="https://login.consultant.ru/link/?req=doc&amp;base=RZR&amp;n=483090&amp;dst=112345" TargetMode="External"/><Relationship Id="rId44" Type="http://schemas.openxmlformats.org/officeDocument/2006/relationships/hyperlink" Target="https://login.consultant.ru/link/?req=doc&amp;base=RZR&amp;n=483090&amp;dst=11236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77712&amp;dst=101613" TargetMode="External"/><Relationship Id="rId14" Type="http://schemas.openxmlformats.org/officeDocument/2006/relationships/hyperlink" Target="https://login.consultant.ru/link/?req=doc&amp;base=RZR&amp;n=483090&amp;dst=112324" TargetMode="External"/><Relationship Id="rId22" Type="http://schemas.openxmlformats.org/officeDocument/2006/relationships/hyperlink" Target="https://login.consultant.ru/link/?req=doc&amp;base=RZR&amp;n=527217&amp;dst=100249" TargetMode="External"/><Relationship Id="rId27" Type="http://schemas.openxmlformats.org/officeDocument/2006/relationships/hyperlink" Target="https://login.consultant.ru/link/?req=doc&amp;base=RZR&amp;n=411930&amp;dst=100030" TargetMode="External"/><Relationship Id="rId30" Type="http://schemas.openxmlformats.org/officeDocument/2006/relationships/hyperlink" Target="https://login.consultant.ru/link/?req=doc&amp;base=RZR&amp;n=483090&amp;dst=112344" TargetMode="External"/><Relationship Id="rId35" Type="http://schemas.openxmlformats.org/officeDocument/2006/relationships/hyperlink" Target="https://login.consultant.ru/link/?req=doc&amp;base=RZR&amp;n=483090&amp;dst=112355" TargetMode="External"/><Relationship Id="rId43" Type="http://schemas.openxmlformats.org/officeDocument/2006/relationships/hyperlink" Target="https://login.consultant.ru/link/?req=doc&amp;base=RZR&amp;n=483090&amp;dst=112358" TargetMode="External"/><Relationship Id="rId48" Type="http://schemas.openxmlformats.org/officeDocument/2006/relationships/hyperlink" Target="https://login.consultant.ru/link/?req=doc&amp;base=RZR&amp;n=483090&amp;dst=112362" TargetMode="External"/><Relationship Id="rId8" Type="http://schemas.openxmlformats.org/officeDocument/2006/relationships/hyperlink" Target="https://login.consultant.ru/link/?req=doc&amp;base=RZR&amp;n=398337&amp;dst=1000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375046&amp;dst=100010" TargetMode="External"/><Relationship Id="rId17" Type="http://schemas.openxmlformats.org/officeDocument/2006/relationships/hyperlink" Target="https://login.consultant.ru/link/?req=doc&amp;base=RZR&amp;n=483090&amp;dst=112325" TargetMode="External"/><Relationship Id="rId25" Type="http://schemas.openxmlformats.org/officeDocument/2006/relationships/hyperlink" Target="https://login.consultant.ru/link/?req=doc&amp;base=RZR&amp;n=483090&amp;dst=112328" TargetMode="External"/><Relationship Id="rId33" Type="http://schemas.openxmlformats.org/officeDocument/2006/relationships/hyperlink" Target="https://login.consultant.ru/link/?req=doc&amp;base=RZR&amp;n=483090&amp;dst=112352" TargetMode="External"/><Relationship Id="rId38" Type="http://schemas.openxmlformats.org/officeDocument/2006/relationships/hyperlink" Target="https://login.consultant.ru/link/?req=doc&amp;base=RZR&amp;n=527217&amp;dst=415" TargetMode="External"/><Relationship Id="rId46" Type="http://schemas.openxmlformats.org/officeDocument/2006/relationships/hyperlink" Target="https://login.consultant.ru/link/?req=doc&amp;base=RZR&amp;n=527217" TargetMode="External"/><Relationship Id="rId20" Type="http://schemas.openxmlformats.org/officeDocument/2006/relationships/hyperlink" Target="https://login.consultant.ru/link/?req=doc&amp;base=RZR&amp;n=483090&amp;dst=112327" TargetMode="External"/><Relationship Id="rId41" Type="http://schemas.openxmlformats.org/officeDocument/2006/relationships/hyperlink" Target="https://login.consultant.ru/link/?req=doc&amp;base=RZR&amp;n=494597&amp;dst=1000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2973&amp;dst=10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5872</Words>
  <Characters>33473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2026-09-08T03:14:00Z</dcterms:created>
  <dcterms:modified xsi:type="dcterms:W3CDTF">2026-09-08T03:15:00Z</dcterms:modified>
</cp:coreProperties>
</file>